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6BA8B" w14:textId="77777777" w:rsidR="005E7417" w:rsidRPr="005E7417" w:rsidRDefault="005E7417" w:rsidP="005E7417">
      <w:pPr>
        <w:spacing w:before="100" w:beforeAutospacing="1" w:after="100" w:afterAutospacing="1" w:line="360" w:lineRule="auto"/>
        <w:jc w:val="both"/>
        <w:outlineLvl w:val="0"/>
        <w:rPr>
          <w:rFonts w:ascii="Times New Roman" w:eastAsia="Times New Roman" w:hAnsi="Times New Roman" w:cs="Times New Roman"/>
          <w:b/>
          <w:bCs/>
          <w:kern w:val="36"/>
          <w:sz w:val="24"/>
          <w:szCs w:val="24"/>
          <w:lang w:eastAsia="pt-BR"/>
          <w14:ligatures w14:val="none"/>
        </w:rPr>
      </w:pPr>
      <w:r w:rsidRPr="005E7417">
        <w:rPr>
          <w:rFonts w:ascii="Times New Roman" w:eastAsia="Times New Roman" w:hAnsi="Times New Roman" w:cs="Times New Roman"/>
          <w:b/>
          <w:bCs/>
          <w:kern w:val="36"/>
          <w:sz w:val="24"/>
          <w:szCs w:val="24"/>
          <w:lang w:eastAsia="pt-BR"/>
          <w14:ligatures w14:val="none"/>
        </w:rPr>
        <w:t>PARECER SOBRE AS TRÊS PROPOSTAS DE ALTERAÇÃO DO PLANO DE CARGOS E VENCIMENTOS DA UENF</w:t>
      </w:r>
    </w:p>
    <w:p w14:paraId="19CF40CA" w14:textId="77777777" w:rsidR="005E7417" w:rsidRPr="005E7417" w:rsidRDefault="005E7417" w:rsidP="005E7417">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t>I – Relatório</w:t>
      </w:r>
    </w:p>
    <w:p w14:paraId="3EF53423"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Submetem-se à análise três instrumentos relacionados à alteração da Lei Estadual nº 4.800, de 29 de junho de 2006, que dispõe sobre o Plano de Cargos e Vencimentos dos servidores da Universidade Estadual do Norte Fluminense Darcy Ribeiro. O primeiro corresponde à minuta originalmente elaborada no âmbito da UENF e associada ao Processo SEI-260009/002434/2021. O segundo consiste na Indicação Legislativa nº 327/2024, apresentada pela deputada </w:t>
      </w:r>
      <w:proofErr w:type="spellStart"/>
      <w:r w:rsidRPr="005E7417">
        <w:rPr>
          <w:rFonts w:ascii="Times New Roman" w:eastAsia="Times New Roman" w:hAnsi="Times New Roman" w:cs="Times New Roman"/>
          <w:kern w:val="0"/>
          <w:sz w:val="24"/>
          <w:szCs w:val="24"/>
          <w:lang w:eastAsia="pt-BR"/>
          <w14:ligatures w14:val="none"/>
        </w:rPr>
        <w:t>Elika</w:t>
      </w:r>
      <w:proofErr w:type="spellEnd"/>
      <w:r w:rsidRPr="005E7417">
        <w:rPr>
          <w:rFonts w:ascii="Times New Roman" w:eastAsia="Times New Roman" w:hAnsi="Times New Roman" w:cs="Times New Roman"/>
          <w:kern w:val="0"/>
          <w:sz w:val="24"/>
          <w:szCs w:val="24"/>
          <w:lang w:eastAsia="pt-BR"/>
          <w14:ligatures w14:val="none"/>
        </w:rPr>
        <w:t xml:space="preserve"> </w:t>
      </w:r>
      <w:proofErr w:type="spellStart"/>
      <w:r w:rsidRPr="005E7417">
        <w:rPr>
          <w:rFonts w:ascii="Times New Roman" w:eastAsia="Times New Roman" w:hAnsi="Times New Roman" w:cs="Times New Roman"/>
          <w:kern w:val="0"/>
          <w:sz w:val="24"/>
          <w:szCs w:val="24"/>
          <w:lang w:eastAsia="pt-BR"/>
          <w14:ligatures w14:val="none"/>
        </w:rPr>
        <w:t>Takimoto</w:t>
      </w:r>
      <w:proofErr w:type="spellEnd"/>
      <w:r w:rsidRPr="005E7417">
        <w:rPr>
          <w:rFonts w:ascii="Times New Roman" w:eastAsia="Times New Roman" w:hAnsi="Times New Roman" w:cs="Times New Roman"/>
          <w:kern w:val="0"/>
          <w:sz w:val="24"/>
          <w:szCs w:val="24"/>
          <w:lang w:eastAsia="pt-BR"/>
          <w14:ligatures w14:val="none"/>
        </w:rPr>
        <w:t xml:space="preserve"> e subscrita por outros parlamentares, por meio da qual se solicitou ao Poder Executivo o envio de mensagem legislativa destinada à alteração do PCV. O terceiro encontra-se inserido no Processo SEI-440001/000081/2026 e corresponde à minuta encaminhada pela Reitoria da UENF ao Gabinete do Governador em julho de 2026.</w:t>
      </w:r>
    </w:p>
    <w:p w14:paraId="5FDE09BD"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análise adotou a ordem cronológica indicada — minuta original, projeto legislativo e documento constante do SEI — e procurou verificar não apenas diferenças literais, mas também seus efeitos sobre a estrutura das carreiras, a progressão funcional, a transposição para o novo quadro, a remuneração, os auxílios, os direitos dos servidores aposentados e pensionistas, as competências do Conselho Universitário e da Reitoria e a própria consistência jurídico-legislativa dos textos.</w:t>
      </w:r>
    </w:p>
    <w:p w14:paraId="64288E7F" w14:textId="77777777" w:rsid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Desde logo, cabe registrar que a leitura comparativa não revela a existência de três propostas substantivamente autônomas. A minuta originalmente elaborada pela UENF constitui o primeiro modelo. A Indicação Legislativa nº 327/2024 introduz modificações relevantes nesse modelo. Já o texto encaminhado pela Reitoria em 2026 reproduz, em seus aspectos essenciais e até em diversas impropriedades formais, a versão incorporada à Indicação Legislativa. Desse modo, a trajetória normativa pode ser descrita como a passagem de uma minuta original para uma versão modificada em 2024, posteriormente reapresentada pela própria Reitoria em 2026, sem que esta tenha promovido uma revisão substancial ou uma atualização financeira compatível com o tempo transcorrido.</w:t>
      </w:r>
    </w:p>
    <w:p w14:paraId="10EF2390" w14:textId="77777777" w:rsidR="005E7417" w:rsidRDefault="005E7417" w:rsidP="005E7417">
      <w:pPr>
        <w:spacing w:after="120" w:line="360" w:lineRule="auto"/>
        <w:jc w:val="both"/>
        <w:rPr>
          <w:rFonts w:ascii="Times New Roman" w:eastAsia="Times New Roman" w:hAnsi="Times New Roman" w:cs="Times New Roman"/>
          <w:kern w:val="0"/>
          <w:sz w:val="24"/>
          <w:szCs w:val="24"/>
          <w:lang w:eastAsia="pt-BR"/>
          <w14:ligatures w14:val="none"/>
        </w:rPr>
      </w:pPr>
    </w:p>
    <w:p w14:paraId="032E2835" w14:textId="77777777" w:rsidR="005E7417" w:rsidRPr="005E7417" w:rsidRDefault="005E7417" w:rsidP="005E7417">
      <w:pPr>
        <w:spacing w:after="120" w:line="360" w:lineRule="auto"/>
        <w:jc w:val="both"/>
        <w:rPr>
          <w:rFonts w:ascii="Times New Roman" w:eastAsia="Times New Roman" w:hAnsi="Times New Roman" w:cs="Times New Roman"/>
          <w:kern w:val="0"/>
          <w:sz w:val="24"/>
          <w:szCs w:val="24"/>
          <w:lang w:eastAsia="pt-BR"/>
          <w14:ligatures w14:val="none"/>
        </w:rPr>
      </w:pPr>
    </w:p>
    <w:p w14:paraId="02EF7B20" w14:textId="77777777" w:rsidR="005E7417" w:rsidRP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lastRenderedPageBreak/>
        <w:t>II – Estrutura das carreiras, progressão funcional e acesso à classe de Professor Titular</w:t>
      </w:r>
    </w:p>
    <w:p w14:paraId="38533E10"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proposta original reorganiza o quadro permanente da UENF em cinco níveis, correspondentes às carreiras de escolaridade fundamental I, fundamental II, média, superior e docente. Cada nível se divide em faixas e padrões, buscando articular formação, qualificação profissional, tempo de serviço e avaliação funcional. Essa estrutura geral permanece nas duas versões posteriores, razão pela qual não se pode afirmar que o projeto legislativo e a minuta de 2026 tenham abandonado integralmente o desenho de carreira concebido na UENF.</w:t>
      </w:r>
    </w:p>
    <w:p w14:paraId="6C80B192" w14:textId="76B72845"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As diferenças aparecem, contudo, na forma como a progressão passa a ser condicionada. A minuta original remetia a progressão simples aos critérios constantes dos anexos e à regulamentação específica, enquanto a Indicação Legislativa introduziu expressamente, no corpo da lei, a exigência de obtenção de 70% dos pontos na avaliação funcional anual. A minuta encaminhada pela Reitoria em</w:t>
      </w:r>
      <w:r>
        <w:rPr>
          <w:rFonts w:ascii="Times New Roman" w:eastAsia="Times New Roman" w:hAnsi="Times New Roman" w:cs="Times New Roman"/>
          <w:kern w:val="0"/>
          <w:sz w:val="24"/>
          <w:szCs w:val="24"/>
          <w:lang w:eastAsia="pt-BR"/>
          <w14:ligatures w14:val="none"/>
        </w:rPr>
        <w:t xml:space="preserve"> 03 de julho de  </w:t>
      </w:r>
      <w:r w:rsidRPr="005E7417">
        <w:rPr>
          <w:rFonts w:ascii="Times New Roman" w:eastAsia="Times New Roman" w:hAnsi="Times New Roman" w:cs="Times New Roman"/>
          <w:kern w:val="0"/>
          <w:sz w:val="24"/>
          <w:szCs w:val="24"/>
          <w:lang w:eastAsia="pt-BR"/>
          <w14:ligatures w14:val="none"/>
        </w:rPr>
        <w:t xml:space="preserve">2026 conserva exatamente essa exigência. A progressão passa, portanto, a depender de um percentual fixado em lei, sem que o texto defina com suficiente precisão a metodologia da avaliação, os indicadores aplicáveis às diferentes categorias, a forma de aferição, as instâncias recursais ou as garantias contra avaliações arbitrárias. </w:t>
      </w:r>
    </w:p>
    <w:p w14:paraId="20292301"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fixação de um percentual mínimo não representa necessariamente, por si só, uma medida inadequada. O problema reside no fato de que a lei torna rígido um requisito quantitativo, mas deixa para regulamentação posterior quase toda a arquitetura que lhe dará conteúdo. Essa combinação pode produzir um sistema em que o direito à progressão aparece formalmente reconhecido, porém fica subordinado a critérios administrativos ainda indefinidos. Também reduz a capacidade do Conselho Universitário de aperfeiçoar o sistema de avaliação diante da experiência acumulada ou das diferenças entre carreiras técnicas, administrativas e docentes.</w:t>
      </w:r>
    </w:p>
    <w:p w14:paraId="6530A5AB"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A reorganização da carreira docente contém um avanço importante ao permitir a progressão de Professor Associado para Professor Titular sem a exigência de novo concurso público, desde que atendidos os requisitos acadêmicos estabelecidos no Anexo III-B. Essa possibilidade responde a uma demanda antiga do corpo docente e aproxima a UENF do modelo adotado por universidades federais e outras instituições estaduais. O próprio expediente enviado ao governo afirma que a ausência desse mecanismo contribui </w:t>
      </w:r>
      <w:r w:rsidRPr="005E7417">
        <w:rPr>
          <w:rFonts w:ascii="Times New Roman" w:eastAsia="Times New Roman" w:hAnsi="Times New Roman" w:cs="Times New Roman"/>
          <w:kern w:val="0"/>
          <w:sz w:val="24"/>
          <w:szCs w:val="24"/>
          <w:lang w:eastAsia="pt-BR"/>
          <w14:ligatures w14:val="none"/>
        </w:rPr>
        <w:lastRenderedPageBreak/>
        <w:t xml:space="preserve">para a existência de vagas ociosas nos níveis superiores e dificulta a retenção de profissionais qualificados. </w:t>
      </w:r>
    </w:p>
    <w:p w14:paraId="165075D4"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Entretanto, as versões posteriores introduzem uma contradição. O artigo 5º passa a mencionar apenas a progressão do Professor Associado para a classe de Titular, ao passo que o Anexo III-B mantém a expressão “progressão ou concurso”. Assim, o corpo da lei e seu anexo não oferecem uma resposta inequívoca sobre a possibilidade futura de ingresso direto na classe de Professor Titular por concurso público. A proposta deveria esclarecer que a classe pode ser alcançada por progressão interna e, quando houver interesse institucional e cargo disponível, por concurso específico. A redação atual permite interpretações conflitantes e cria uma antinomia que deveria ser eliminada antes do encaminhamento legislativo.</w:t>
      </w:r>
    </w:p>
    <w:p w14:paraId="27C4FE4A" w14:textId="77777777" w:rsid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Os critérios docentes também dependem fortemente de regulamentação posterior. Expressões como publicação regular, participação em projetos, experiência em orientação e atendimento ao perfil de cada área podem ser adequadas em termos gerais, mas exigem normas capazes de respeitar diferenças entre campos científicos. A produtividade acadêmica não se expressa de maneira uniforme nas ciências naturais, nas engenharias, nas ciências agrárias, nas ciências sociais e nas humanidades. Uma regulamentação excessivamente padronizada pode produzir desigualdades e transformar a progressão em simples contagem de produtos, afastando-se de uma avaliação qualitativa da contribuição acadêmica.</w:t>
      </w:r>
    </w:p>
    <w:p w14:paraId="006B19BB" w14:textId="77777777" w:rsidR="005E7417" w:rsidRPr="005E7417" w:rsidRDefault="005E7417" w:rsidP="005E7417">
      <w:pPr>
        <w:spacing w:after="120" w:line="360" w:lineRule="auto"/>
        <w:jc w:val="both"/>
        <w:rPr>
          <w:rFonts w:ascii="Times New Roman" w:eastAsia="Times New Roman" w:hAnsi="Times New Roman" w:cs="Times New Roman"/>
          <w:kern w:val="0"/>
          <w:sz w:val="24"/>
          <w:szCs w:val="24"/>
          <w:lang w:eastAsia="pt-BR"/>
          <w14:ligatures w14:val="none"/>
        </w:rPr>
      </w:pPr>
    </w:p>
    <w:p w14:paraId="4B5C202B" w14:textId="77777777" w:rsidR="005E7417" w:rsidRP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t>III – Transposição para o novo quadro e preservação da trajetória funcional</w:t>
      </w:r>
    </w:p>
    <w:p w14:paraId="284AEFCF"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transposição constitui um dos pontos mais sensíveis das propostas. A minuta original definia o instituto como a transferência automática do servidor do sistema vigente para o novo quadro, considerando a posição anteriormente ocupada, o número de padrões percorridos e o tempo de serviço acumulado desde a última progressão. A intenção era reorganizar a carreira sem apagar a trajetória funcional dos servidores.</w:t>
      </w:r>
    </w:p>
    <w:p w14:paraId="5DDE9809"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A Indicação Legislativa acrescenta um artigo específico com uma tabela rígida de correspondência entre os níveis e faixas antigos e os novos. A minuta de 2026 repete essa tabela. O texto também estabelece que a transposição deve manter o servidor em nível, faixa e padrão equivalentes, com as mesmas exigências de provimento, e veda qualquer movimentação de carreira no ato de transposição. </w:t>
      </w:r>
    </w:p>
    <w:p w14:paraId="3F7B882E"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lastRenderedPageBreak/>
        <w:t>A busca por segurança jurídica é compreensível. A transposição não pode servir como forma indireta de ingresso em cargo distinto ou de ascensão funcional vedada pela Constituição. Todavia, a redação adotada ultrapassa essa finalidade ao empregar expressões excessivamente amplas. A exigência de correspondência estrita e a vedação de qualquer movimentação podem impedir não apenas provimentos irregulares, mas também o reconhecimento de efeitos legítimos do tempo de serviço, de progressões já adquiridas, de processos pendentes ou de requisitos funcionais já preenchidos.</w:t>
      </w:r>
    </w:p>
    <w:p w14:paraId="012430AB"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proposta mantém a contagem do tempo desde a última progressão e afirma que os servidores serão posicionados de acordo com o número de padrões percorridos no plano vigente. Há, portanto, uma tensão interna: de um lado, reconhece-se o tempo acumulado; de outro, veda-se qualquer movimentação no enquadramento. O texto não esclarece se esse tempo produzirá efeitos imediatos, se será apenas transportado para futura progressão ou se poderá ser neutralizado pela regra de equivalência. Essa falta de precisão poderá gerar disputas administrativas e judiciais.</w:t>
      </w:r>
    </w:p>
    <w:p w14:paraId="646BCF6F"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situação dos Professores Titulares merece exame específico. Os titulares que se encontram nos padrões 1 a 5 da antiga faixa XVIII são todos transpostos para o padrão 1 da nova faixa VI. Já aqueles situados na antiga faixa XIX conservam o padrão correspondente na nova faixa VI. A regra comprime no mesmo padrão docentes que ocupavam posições diferentes na faixa XVIII. Embora o texto reconheça o tempo decorrido desde a última progressão, não preserva integralmente a diferenciação funcional acumulada entre esses professores. A solução pode provocar perda relativa de posição e tratamento desigual entre servidores que percorreram números distintos de padrões.</w:t>
      </w:r>
    </w:p>
    <w:p w14:paraId="1701C1D3"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norma de transição precisaria distinguir com maior clareza a simples mudança de nomenclatura e estrutura do reconhecimento de direitos já incorporados ou em processo de aquisição. A vedação ao provimento derivado não deve servir para apagar progressões concluídas, tempo de serviço reconhecido, titulações obtidas ou requerimentos protocolados antes da vigência da nova lei.</w:t>
      </w:r>
    </w:p>
    <w:p w14:paraId="39757B31" w14:textId="77777777" w:rsidR="005E7417" w:rsidRP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t>IV – Remuneração, atualização das tabelas e coerência financeira da proposta</w:t>
      </w:r>
    </w:p>
    <w:p w14:paraId="6B03E1D6"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A dimensão remuneratória revela uma das alterações mais significativas entre a minuta original e as versões posteriores. A proposta inicial não se limitava a apresentar uma nova tabela. Ela estabelecia também um mecanismo de atualização anual dos </w:t>
      </w:r>
      <w:r w:rsidRPr="005E7417">
        <w:rPr>
          <w:rFonts w:ascii="Times New Roman" w:eastAsia="Times New Roman" w:hAnsi="Times New Roman" w:cs="Times New Roman"/>
          <w:kern w:val="0"/>
          <w:sz w:val="24"/>
          <w:szCs w:val="24"/>
          <w:lang w:eastAsia="pt-BR"/>
          <w14:ligatures w14:val="none"/>
        </w:rPr>
        <w:lastRenderedPageBreak/>
        <w:t>vencimentos, determinava a aplicação isonômica dos índices de reposição e continha previsões específicas destinadas à atualização dos proventos dos servidores aposentados e pensionistas.</w:t>
      </w:r>
    </w:p>
    <w:p w14:paraId="0EFBC32F"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A Indicação Legislativa elimina quase todo esse conteúdo. O artigo 25 passa a afirmar apenas que os vencimentos correspondem aos valores constantes dos anexos e que eventuais índices de reposição ou majoração deverão ser aplicados de forma isonômica a todos os níveis. A minuta da Reitoria em 2026 mantém essa redação reduzida. </w:t>
      </w:r>
    </w:p>
    <w:p w14:paraId="6B7BA00A"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diferença é substantiva. A minuta original instituía uma obrigação de atualização periódica. As versões posteriores não garantem atualização alguma; apenas determinam que, caso algum índice venha a ser concedido, ele seja distribuído de maneira isonômica. O direito à revisão anual deixa de constar do plano e transforma-se em eventualidade subordinada a futuras decisões do governo estadual.</w:t>
      </w:r>
    </w:p>
    <w:p w14:paraId="00B781CB"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Esse enfraquecimento ganha maior gravidade quando se observa que a tabela encaminhada em 2026 permanece, em essência, com os valores elaborados anos antes. A Reitoria afirma no ofício enviado ao Gabinete do Governador que o plano vigente não sofre reformulação estrutural há vinte anos, que a perda inflacionária acumulada alcançaria 209% e que a UENF necessita de uma tabela moderna e estimulante para fixar talentos. Afirma, ainda, ter identificado dotação própria para a implantação da proposta. </w:t>
      </w:r>
    </w:p>
    <w:p w14:paraId="1AFAFA6D"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Há evidente descompasso entre essa justificativa e o anexo financeiro reapresentado. Uma tabela produzida no início da década e não atualizada até 2026 não pode ser qualificada, sem ressalvas, como instrumento moderno de recomposição. Mesmo que sua implantação produza ganhos diante do plano vigente, ela já nasce corroída pela inflação acumulada desde sua elaboração. A aprovação de valores desatualizados, somada à retirada do mecanismo de correção anual, pode fazer com que o novo PCV chegue à vigência carregando a defasagem que pretende enfrentar.</w:t>
      </w:r>
    </w:p>
    <w:p w14:paraId="2965EB7C" w14:textId="77777777" w:rsid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mesma observação se aplica à tabela dos cargos em comissão. A proposta deveria apresentar memória de cálculo atualizada, data-base explícita, impacto financeiro revisto e comparação com carreiras equivalentes. Também deveria distinguir o custo da transposição imediata, o impacto das progressões futuras, os cargos atualmente ocupados, as vagas existentes e o custo potencial de novos concursos. A afirmação genérica de disponibilidade orçamentária não substitui a apresentação transparente desses elementos.</w:t>
      </w:r>
    </w:p>
    <w:p w14:paraId="24334C8D" w14:textId="77777777" w:rsidR="005E7417" w:rsidRPr="005E7417" w:rsidRDefault="005E7417" w:rsidP="005E7417">
      <w:pPr>
        <w:spacing w:after="120" w:line="360" w:lineRule="auto"/>
        <w:jc w:val="both"/>
        <w:rPr>
          <w:rFonts w:ascii="Times New Roman" w:eastAsia="Times New Roman" w:hAnsi="Times New Roman" w:cs="Times New Roman"/>
          <w:kern w:val="0"/>
          <w:sz w:val="24"/>
          <w:szCs w:val="24"/>
          <w:lang w:eastAsia="pt-BR"/>
          <w14:ligatures w14:val="none"/>
        </w:rPr>
      </w:pPr>
    </w:p>
    <w:p w14:paraId="4607C8C1" w14:textId="77777777" w:rsidR="005E7417" w:rsidRP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t>V – Auxílios, direitos acessórios e distribuição das competências institucionais</w:t>
      </w:r>
    </w:p>
    <w:p w14:paraId="33AD67FF"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O tratamento dos auxílios mostra uma mudança mais ampla na lógica institucional das propostas. Na minuta original, vários benefícios eram definidos com maior objetividade e sua regulamentação cabia ao Conselho Universitário. Nas versões posteriores, parte dessa competência passa ao Reitor e alguns benefícios ficam condicionados à disponibilidade orçamentária e à observância genérica da Lei de Responsabilidade Fiscal.</w:t>
      </w:r>
    </w:p>
    <w:p w14:paraId="1E7B758F"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O auxílio-transporte apresenta uma combinação de avanço material e centralização decisória. O projeto amplia o universo de beneficiários, incluindo servidores permanentes, extraquadro, cedidos e ocupantes de cargos em comissão, e prevê correção anual pelo IPCA. Ao mesmo tempo, transfere ao Reitor a regulamentação do benefício, antes associada ao Conselho Universitário. </w:t>
      </w:r>
    </w:p>
    <w:p w14:paraId="0159B337"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O auxílio-educação sofre mudança mais problemática. A minuta original definia a faixa etária dos dependentes e exigia matrícula regular em instituição de ensino. Nas versões posteriores, valores e limites passam a ser fixados pelo Reitor e o pagamento fica sujeito à disponibilidade orçamentária. A redação deixa de conferir densidade suficiente ao direito e amplia o espaço de decisão administrativa. O benefício continua previsto, mas sua extensão concreta dependerá de ato posterior da Reitoria e da existência de recursos declarados disponíveis.</w:t>
      </w:r>
    </w:p>
    <w:p w14:paraId="693CE44C"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O auxílio-saúde segue a mesma lógica. As versões posteriores detalham sua natureza indenizatória e os grupos de servidores abrangidos, o que constitui aperfeiçoamento formal. Contudo, os valores e limites passam a ser fixados pelo Reitor, também sob condicionamento orçamentário. O Conselho Universitário perde protagonismo na definição de uma política com evidente impacto sobre toda a comunidade funcional. </w:t>
      </w:r>
    </w:p>
    <w:p w14:paraId="600F34F7"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O caso mais grave é o auxílio-creche. A minuta original o previa expressamente para servidores com filhos ou dependentes em determinada faixa etária. A Indicação Legislativa e a minuta de 2026 retiram o auxílio da relação de benefícios, mas preservam um parágrafo segundo o qual o servidor que estiver recebendo auxílio-creche passará automaticamente ao auxílio-educação quando o dependente completar sete anos. O texto, assim, menciona a transição de um benefício que deixou de instituir. Essa inconsistência </w:t>
      </w:r>
      <w:r w:rsidRPr="005E7417">
        <w:rPr>
          <w:rFonts w:ascii="Times New Roman" w:eastAsia="Times New Roman" w:hAnsi="Times New Roman" w:cs="Times New Roman"/>
          <w:kern w:val="0"/>
          <w:sz w:val="24"/>
          <w:szCs w:val="24"/>
          <w:lang w:eastAsia="pt-BR"/>
          <w14:ligatures w14:val="none"/>
        </w:rPr>
        <w:lastRenderedPageBreak/>
        <w:t xml:space="preserve">pode ser interpretada como extinção do auxílio-creche para novos beneficiários ou como simples erro de redação. Em qualquer hipótese, a lei não pode permanecer ambígua em matéria de direito funcional. </w:t>
      </w:r>
    </w:p>
    <w:p w14:paraId="426FC89D"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O auxílio-alimentação e o auxílio destinado aos servidores com dependentes com necessidades especiais mantêm a regulamentação pelo CONSUNI. Essa diferença reforça a ausência de um critério claro para a distribuição das competências. Não se explica por que alguns benefícios permanecem submetidos ao órgão colegiado máximo, enquanto outros passam à decisão monocrática do Reitor.</w:t>
      </w:r>
    </w:p>
    <w:p w14:paraId="5570038E" w14:textId="77777777" w:rsid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questão ultrapassa o plano administrativo. O CONSUNI constitui o órgão superior de deliberação da Universidade e reúne representação dos diferentes segmentos institucionais. Transferir para a Reitoria a definição dos valores, limites e critérios de benefícios gerais significa reduzir o caráter colegiado da gestão do PCV. Ainda que o Reitor precise exercer atribuições executivas e regulamentares, decisões que afetam indistintamente todo o quadro funcional deveriam permanecer submetidas a normas aprovadas pelo Conselho Universitário.</w:t>
      </w:r>
    </w:p>
    <w:p w14:paraId="2C2A3C08" w14:textId="77777777" w:rsidR="005E7417" w:rsidRPr="005E7417" w:rsidRDefault="005E7417" w:rsidP="005E7417">
      <w:pPr>
        <w:spacing w:after="120" w:line="360" w:lineRule="auto"/>
        <w:jc w:val="both"/>
        <w:rPr>
          <w:rFonts w:ascii="Times New Roman" w:eastAsia="Times New Roman" w:hAnsi="Times New Roman" w:cs="Times New Roman"/>
          <w:kern w:val="0"/>
          <w:sz w:val="24"/>
          <w:szCs w:val="24"/>
          <w:lang w:eastAsia="pt-BR"/>
          <w14:ligatures w14:val="none"/>
        </w:rPr>
      </w:pPr>
    </w:p>
    <w:p w14:paraId="4545343B" w14:textId="77777777" w:rsidR="005E7417" w:rsidRP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t>VI – Servidores aposentados e pensionistas</w:t>
      </w:r>
    </w:p>
    <w:p w14:paraId="0AF18684"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minuta original continha dispositivos específicos sobre a atualização dos proventos dos aposentados e pensionistas e atribuía à área de recursos humanos a adoção das providências necessárias ao enquadramento. Nas versões posteriores, essas garantias desaparecem. O artigo 39 conserva referência a servidores ativos e inativos, mas o dispositivo específico sobre pensionistas e atualização dos proventos é substituído por uma regra segundo a qual as normas de transposição possuem aplicação única e servem exclusivamente ao posicionamento entre o plano antigo e o novo.</w:t>
      </w:r>
    </w:p>
    <w:p w14:paraId="6EC22994"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retirada dessa previsão não significa necessariamente que direitos constitucionais de paridade ou revisão possam ser afastados. Todavia, o silêncio da proposta reduz a segurança jurídica e cria dúvidas operacionais. A categoria “inativos” não abrange de forma necessariamente inequívoca todos os pensionistas, e o texto deixa de determinar como se dará a atualização dos benefícios previdenciários diante da nova estrutura de níveis, faixas e padrões.</w:t>
      </w:r>
    </w:p>
    <w:p w14:paraId="29C1F260" w14:textId="77777777" w:rsid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Uma lei de reestruturação de carreira deve tratar expressamente dos efeitos sobre aposentados e pensionistas. Não basta pressupor que a administração aplicará </w:t>
      </w:r>
      <w:r w:rsidRPr="005E7417">
        <w:rPr>
          <w:rFonts w:ascii="Times New Roman" w:eastAsia="Times New Roman" w:hAnsi="Times New Roman" w:cs="Times New Roman"/>
          <w:kern w:val="0"/>
          <w:sz w:val="24"/>
          <w:szCs w:val="24"/>
          <w:lang w:eastAsia="pt-BR"/>
          <w14:ligatures w14:val="none"/>
        </w:rPr>
        <w:lastRenderedPageBreak/>
        <w:t>automaticamente regras externas. O novo PCV precisa indicar quais grupos serão alcançados, como ocorrerá o reposicionamento, quais parcelas integrarão os proventos e de que forma serão respeitadas a paridade e a integralidade nos casos em que esses direitos estiverem assegurados.</w:t>
      </w:r>
    </w:p>
    <w:p w14:paraId="5FCF6506" w14:textId="77777777" w:rsidR="005E7417" w:rsidRPr="005E7417" w:rsidRDefault="005E7417" w:rsidP="005E7417">
      <w:pPr>
        <w:spacing w:after="120" w:line="360" w:lineRule="auto"/>
        <w:jc w:val="both"/>
        <w:rPr>
          <w:rFonts w:ascii="Times New Roman" w:eastAsia="Times New Roman" w:hAnsi="Times New Roman" w:cs="Times New Roman"/>
          <w:kern w:val="0"/>
          <w:sz w:val="24"/>
          <w:szCs w:val="24"/>
          <w:lang w:eastAsia="pt-BR"/>
          <w14:ligatures w14:val="none"/>
        </w:rPr>
      </w:pPr>
    </w:p>
    <w:p w14:paraId="107C1E07" w14:textId="77777777" w:rsidR="005E7417" w:rsidRP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t>VII – Aposentadoria especial e impropriedades conceituais</w:t>
      </w:r>
    </w:p>
    <w:p w14:paraId="04989B28"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As versões posteriores acrescentam ao artigo 24 referências à Constituição Estadual e ao artigo 57 da Lei Federal nº 8.213/1991, buscando fundamentar a aposentadoria especial de servidores expostos a condições insalubres ou perigosas enquanto não houver disciplina estadual específica. Esse detalhamento pode representar um esforço de aperfeiçoamento jurídico.</w:t>
      </w:r>
    </w:p>
    <w:p w14:paraId="6D85123D"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Entretanto, o parágrafo seguinte mistura aposentadoria especial por exposição a agentes nocivos com aposentadoria por incapacidade permanente. A afirmação de que não será concedida aposentadoria especial por incapacidade quando houver possibilidade de readaptação combina institutos juridicamente distintos. A readaptação pode constituir requisito relevante para a aposentadoria por incapacidade permanente, mas não define o direito à aposentadoria especial resultante do trabalho continuado sob condições prejudiciais à saúde.</w:t>
      </w:r>
    </w:p>
    <w:p w14:paraId="25199DA8"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Essa imprecisão pode restringir direitos ou gerar interpretações administrativas contraditórias. O texto deveria separar claramente as duas matérias ou, preferencialmente, retirar do PCV uma disciplina previdenciária que exige tratamento técnico próprio e compatibilidade com as normas constitucionais e complementares vigentes.</w:t>
      </w:r>
    </w:p>
    <w:p w14:paraId="62C1F44B" w14:textId="77777777" w:rsidR="005E7417" w:rsidRP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t>VIII – Técnica legislativa e consistência formal</w:t>
      </w:r>
    </w:p>
    <w:p w14:paraId="45C5DF47"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minuta encaminhada pela Reitoria em 2026 apresenta problemas de técnica legislativa que não podem ser considerados meros detalhes. O documento se intitula minuta de projeto de lei complementar, embora altere uma lei ordinária e não demonstre a exigência constitucional de lei complementar para a matéria. Ao final, afirma que “esta Resolução entra em vigor”, apesar de se tratar de projeto de lei. A ementa contém erro no nome de Darcy Ribeiro, aparecem grafias incorretas como “</w:t>
      </w:r>
      <w:proofErr w:type="spellStart"/>
      <w:r w:rsidRPr="005E7417">
        <w:rPr>
          <w:rFonts w:ascii="Times New Roman" w:eastAsia="Times New Roman" w:hAnsi="Times New Roman" w:cs="Times New Roman"/>
          <w:kern w:val="0"/>
          <w:sz w:val="24"/>
          <w:szCs w:val="24"/>
          <w:lang w:eastAsia="pt-BR"/>
          <w14:ligatures w14:val="none"/>
        </w:rPr>
        <w:t>trasposição</w:t>
      </w:r>
      <w:proofErr w:type="spellEnd"/>
      <w:r w:rsidRPr="005E7417">
        <w:rPr>
          <w:rFonts w:ascii="Times New Roman" w:eastAsia="Times New Roman" w:hAnsi="Times New Roman" w:cs="Times New Roman"/>
          <w:kern w:val="0"/>
          <w:sz w:val="24"/>
          <w:szCs w:val="24"/>
          <w:lang w:eastAsia="pt-BR"/>
          <w14:ligatures w14:val="none"/>
        </w:rPr>
        <w:t>”, alternam-se os termos funcionários e servidores e há falhas na numeração dos incisos.</w:t>
      </w:r>
    </w:p>
    <w:p w14:paraId="53136E33"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lastRenderedPageBreak/>
        <w:t>O texto também conserva notas explicativas impróprias para uma lei, como observações sobre a forma de discriminação de determinadas verbas em comprovantes de rendimentos. Há referências a redações dadas por leis anteriores inseridas de forma desorganizada no próprio dispositivo. A data de implantação financeira é vinculada ao primeiro dia do mês subsequente à “aprovação”, quando o marco juridicamente adequado seria a publicação ou a entrada em vigor, uma vez que aprovação parlamentar, sanção e publicação correspondem a momentos diferentes.</w:t>
      </w:r>
    </w:p>
    <w:p w14:paraId="2B777857" w14:textId="77777777" w:rsid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reprodução dessas falhas na Indicação Legislativa e na minuta de 2026 reforça a conclusão de que o documento enviado pela Reitoria não passou por revisão técnico-jurídica capaz de transformá-lo em uma nova proposta institucional. A coincidência não ocorre apenas nas escolhas de mérito, mas também nos erros, contradições e notas residuais do texto anterior.</w:t>
      </w:r>
    </w:p>
    <w:p w14:paraId="6F695537"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p>
    <w:p w14:paraId="215064F8" w14:textId="77777777" w:rsidR="005E7417" w:rsidRP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t>IX – Governança universitária e legitimidade institucional</w:t>
      </w:r>
    </w:p>
    <w:p w14:paraId="243E3CE3"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minuta original surgiu de um processo interno de elaboração e apresentava, em vários pontos, o Conselho Universitário como instância responsável pela regulamentação do plano. A Indicação Legislativa alterou dispositivos relevantes, reduziu garantias e ampliou competências administrativas da Reitoria. Em 2026, a Reitoria encaminhou ao Gabinete do Governador essencialmente essa versão modificada.</w:t>
      </w:r>
    </w:p>
    <w:p w14:paraId="02B28C30"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Esse percurso suscita uma questão de legitimidade. Se o texto agora encaminhado diverge da proposta anteriormente aprovada pelas instâncias universitárias, não se mostra adequado tratá-lo como simples continuidade do processo original. A alteração de direitos, competências, critérios de progressão, regras de transposição e mecanismos de atualização remuneratória exige nova apreciação do CONSUNI.</w:t>
      </w:r>
    </w:p>
    <w:p w14:paraId="16B8B800"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autonomia universitária não se confunde com liberdade exclusiva da administração central para modificar uma proposta de carreira. A autonomia se exerce por meio da estrutura colegiada da Universidade e pressupõe participação dos segmentos afetados. Um PCV constitui pacto institucional de longo prazo e não pode resultar apenas de negociações externas ou de decisões de gabinete.</w:t>
      </w:r>
    </w:p>
    <w:p w14:paraId="47779212"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O expediente encaminhado pela Reitoria afirma que a proposta foi construída mediante diálogo com a comunidade universitária e que representa resposta institucional </w:t>
      </w:r>
      <w:r w:rsidRPr="005E7417">
        <w:rPr>
          <w:rFonts w:ascii="Times New Roman" w:eastAsia="Times New Roman" w:hAnsi="Times New Roman" w:cs="Times New Roman"/>
          <w:kern w:val="0"/>
          <w:sz w:val="24"/>
          <w:szCs w:val="24"/>
          <w:lang w:eastAsia="pt-BR"/>
          <w14:ligatures w14:val="none"/>
        </w:rPr>
        <w:lastRenderedPageBreak/>
        <w:t xml:space="preserve">madura. Essa afirmação corresponde à trajetória da minuta original, mas não resolve a necessidade de submeter as modificações posteriores ao mesmo nível de deliberação. </w:t>
      </w:r>
    </w:p>
    <w:p w14:paraId="3DAE4B46" w14:textId="77777777" w:rsid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p>
    <w:p w14:paraId="512BA49D" w14:textId="36F70602" w:rsidR="005E7417" w:rsidRPr="005E7417" w:rsidRDefault="005E7417" w:rsidP="005E7417">
      <w:pPr>
        <w:spacing w:after="120" w:line="360" w:lineRule="auto"/>
        <w:jc w:val="both"/>
        <w:outlineLvl w:val="1"/>
        <w:rPr>
          <w:rFonts w:ascii="Times New Roman" w:eastAsia="Times New Roman" w:hAnsi="Times New Roman" w:cs="Times New Roman"/>
          <w:b/>
          <w:bCs/>
          <w:kern w:val="0"/>
          <w:sz w:val="24"/>
          <w:szCs w:val="24"/>
          <w:lang w:eastAsia="pt-BR"/>
          <w14:ligatures w14:val="none"/>
        </w:rPr>
      </w:pPr>
      <w:r w:rsidRPr="005E7417">
        <w:rPr>
          <w:rFonts w:ascii="Times New Roman" w:eastAsia="Times New Roman" w:hAnsi="Times New Roman" w:cs="Times New Roman"/>
          <w:b/>
          <w:bCs/>
          <w:kern w:val="0"/>
          <w:sz w:val="24"/>
          <w:szCs w:val="24"/>
          <w:lang w:eastAsia="pt-BR"/>
          <w14:ligatures w14:val="none"/>
        </w:rPr>
        <w:t>X – Conclusão</w:t>
      </w:r>
    </w:p>
    <w:p w14:paraId="12570057" w14:textId="6E46BC56"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A comparação dos três instrumentos permite concluir que a minuta encaminhada pela Reitoria em </w:t>
      </w:r>
      <w:r>
        <w:rPr>
          <w:rFonts w:ascii="Times New Roman" w:eastAsia="Times New Roman" w:hAnsi="Times New Roman" w:cs="Times New Roman"/>
          <w:kern w:val="0"/>
          <w:sz w:val="24"/>
          <w:szCs w:val="24"/>
          <w:lang w:eastAsia="pt-BR"/>
          <w14:ligatures w14:val="none"/>
        </w:rPr>
        <w:t xml:space="preserve">03 de julho de </w:t>
      </w:r>
      <w:r w:rsidRPr="005E7417">
        <w:rPr>
          <w:rFonts w:ascii="Times New Roman" w:eastAsia="Times New Roman" w:hAnsi="Times New Roman" w:cs="Times New Roman"/>
          <w:kern w:val="0"/>
          <w:sz w:val="24"/>
          <w:szCs w:val="24"/>
          <w:lang w:eastAsia="pt-BR"/>
          <w14:ligatures w14:val="none"/>
        </w:rPr>
        <w:t>2026 não constitui uma terceira proposta substantivamente nova. Ela reproduz quase integralmente a versão incorporada à Indicação Legislativa nº 327/2024, inclusive em restrições, inconsistências e falhas formais. Por isso, não se deve apresentá-la como simples retomada da minuta original aprovada no âmbito da UENF.</w:t>
      </w:r>
    </w:p>
    <w:p w14:paraId="2EB4D343"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Embora as três versões mantenham o desenho geral da nova carreira e preservem avanços como a possibilidade de progressão de Professor Associado para Professor Titular, as duas versões posteriores reduzem a densidade normativa de direitos relevantes. Elas tornam a progressão mais dependente de avaliação ainda não suficientemente regulada, introduzem regras de transposição potencialmente restritivas, eliminam a obrigação expressa de atualização anual das tabelas, enfraquecem as garantias dirigidas aos aposentados e pensionistas, retiram a previsão do auxílio-creche e transferem do CONSUNI para o Reitor decisões relevantes sobre auxílios.</w:t>
      </w:r>
    </w:p>
    <w:p w14:paraId="6A197A05"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 proposta de 2026 também apresenta uma contradição financeira central. A Reitoria justifica a urgência do PCV com base em uma defasagem histórica, na perda inflacionária e na necessidade de fixar servidores qualificados, mas encaminha tabelas concebidas anos antes, sem atualização compatível com 2026 e sem mecanismo permanente de correção. O texto corre o risco, portanto, de instituir um plano que já nasce financeiramente defasado.</w:t>
      </w:r>
    </w:p>
    <w:p w14:paraId="6E6AF2FF"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Além disso, a minuta contém problemas de técnica legislativa, conflitos entre artigos e anexos, mistura de institutos previdenciários, referências normativas imprecisas e erros formais incompatíveis com o envio imediato ao Poder Executivo e à Assembleia Legislativa.</w:t>
      </w:r>
    </w:p>
    <w:p w14:paraId="17F91108"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 xml:space="preserve">Diante disso, este parecer considera inadequado o encaminhamento da proposta em sua forma atual. Recomenda-se que o texto retorne ao Conselho Universitário para apreciação integral, com apresentação explícita das diferenças em relação à minuta original, atualização das tabelas remuneratórias, revisão das regras de transposição, </w:t>
      </w:r>
      <w:r w:rsidRPr="005E7417">
        <w:rPr>
          <w:rFonts w:ascii="Times New Roman" w:eastAsia="Times New Roman" w:hAnsi="Times New Roman" w:cs="Times New Roman"/>
          <w:kern w:val="0"/>
          <w:sz w:val="24"/>
          <w:szCs w:val="24"/>
          <w:lang w:eastAsia="pt-BR"/>
          <w14:ligatures w14:val="none"/>
        </w:rPr>
        <w:lastRenderedPageBreak/>
        <w:t>restauração das garantias relativas à atualização salarial, definição inequívoca dos direitos dos aposentados e pensionistas, correção da disciplina dos auxílios e revisão jurídica e legislativa completa.</w:t>
      </w:r>
    </w:p>
    <w:p w14:paraId="490F2511" w14:textId="77777777" w:rsidR="005E7417" w:rsidRPr="005E7417" w:rsidRDefault="005E7417" w:rsidP="005E7417">
      <w:pPr>
        <w:spacing w:after="120" w:line="360" w:lineRule="auto"/>
        <w:ind w:firstLine="708"/>
        <w:jc w:val="both"/>
        <w:rPr>
          <w:rFonts w:ascii="Times New Roman" w:eastAsia="Times New Roman" w:hAnsi="Times New Roman" w:cs="Times New Roman"/>
          <w:kern w:val="0"/>
          <w:sz w:val="24"/>
          <w:szCs w:val="24"/>
          <w:lang w:eastAsia="pt-BR"/>
          <w14:ligatures w14:val="none"/>
        </w:rPr>
      </w:pPr>
      <w:r w:rsidRPr="005E7417">
        <w:rPr>
          <w:rFonts w:ascii="Times New Roman" w:eastAsia="Times New Roman" w:hAnsi="Times New Roman" w:cs="Times New Roman"/>
          <w:kern w:val="0"/>
          <w:sz w:val="24"/>
          <w:szCs w:val="24"/>
          <w:lang w:eastAsia="pt-BR"/>
          <w14:ligatures w14:val="none"/>
        </w:rPr>
        <w:t>O novo PCV somente poderá cumprir a função institucional anunciada pela Reitoria se combinar uma carreira moderna com remuneração atualizada, direitos claramente definidos, segurança na transposição, participação colegiada e mecanismos permanentes de valorização. Na forma encaminhada em 2026, o texto preserva a estrutura geral da proposta original, mas o faz por meio de uma versão normativamente reduzida, financeiramente desatualizada e menos democrática na distribuição das competências internas.</w:t>
      </w:r>
    </w:p>
    <w:p w14:paraId="71A50936" w14:textId="77777777" w:rsidR="005E7417" w:rsidRDefault="005E7417" w:rsidP="005E7417">
      <w:pPr>
        <w:spacing w:after="120" w:line="360" w:lineRule="auto"/>
      </w:pPr>
    </w:p>
    <w:p w14:paraId="3033E76B" w14:textId="5241BB47" w:rsidR="005E7417" w:rsidRDefault="005E7417">
      <w:r>
        <w:br w:type="page"/>
      </w:r>
    </w:p>
    <w:p w14:paraId="3EBA709B" w14:textId="78090C9B" w:rsidR="005E7417" w:rsidRDefault="005E7417" w:rsidP="005E7417">
      <w:pPr>
        <w:spacing w:after="120" w:line="360" w:lineRule="auto"/>
      </w:pPr>
      <w:r>
        <w:rPr>
          <w:noProof/>
        </w:rPr>
        <w:lastRenderedPageBreak/>
        <w:drawing>
          <wp:inline distT="0" distB="0" distL="0" distR="0" wp14:anchorId="0E358295" wp14:editId="331910B8">
            <wp:extent cx="6353175" cy="9529763"/>
            <wp:effectExtent l="0" t="0" r="0" b="0"/>
            <wp:docPr id="117409820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098204" name="Imagem 1174098204"/>
                    <pic:cNvPicPr/>
                  </pic:nvPicPr>
                  <pic:blipFill>
                    <a:blip r:embed="rId6">
                      <a:extLst>
                        <a:ext uri="{28A0092B-C50C-407E-A947-70E740481C1C}">
                          <a14:useLocalDpi xmlns:a14="http://schemas.microsoft.com/office/drawing/2010/main" val="0"/>
                        </a:ext>
                      </a:extLst>
                    </a:blip>
                    <a:stretch>
                      <a:fillRect/>
                    </a:stretch>
                  </pic:blipFill>
                  <pic:spPr>
                    <a:xfrm>
                      <a:off x="0" y="0"/>
                      <a:ext cx="6355448" cy="9533173"/>
                    </a:xfrm>
                    <a:prstGeom prst="rect">
                      <a:avLst/>
                    </a:prstGeom>
                  </pic:spPr>
                </pic:pic>
              </a:graphicData>
            </a:graphic>
          </wp:inline>
        </w:drawing>
      </w:r>
    </w:p>
    <w:sectPr w:rsidR="005E7417">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B27CC" w14:textId="77777777" w:rsidR="005E7417" w:rsidRDefault="005E7417" w:rsidP="005E7417">
      <w:pPr>
        <w:spacing w:after="0" w:line="240" w:lineRule="auto"/>
      </w:pPr>
      <w:r>
        <w:separator/>
      </w:r>
    </w:p>
  </w:endnote>
  <w:endnote w:type="continuationSeparator" w:id="0">
    <w:p w14:paraId="5D3AB7CD" w14:textId="77777777" w:rsidR="005E7417" w:rsidRDefault="005E7417" w:rsidP="005E7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3417F" w14:textId="77777777" w:rsidR="005E7417" w:rsidRDefault="005E7417" w:rsidP="005E7417">
      <w:pPr>
        <w:spacing w:after="0" w:line="240" w:lineRule="auto"/>
      </w:pPr>
      <w:r>
        <w:separator/>
      </w:r>
    </w:p>
  </w:footnote>
  <w:footnote w:type="continuationSeparator" w:id="0">
    <w:p w14:paraId="7C42B221" w14:textId="77777777" w:rsidR="005E7417" w:rsidRDefault="005E7417" w:rsidP="005E7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740079"/>
      <w:docPartObj>
        <w:docPartGallery w:val="Page Numbers (Margins)"/>
        <w:docPartUnique/>
      </w:docPartObj>
    </w:sdtPr>
    <w:sdtContent>
      <w:p w14:paraId="11E4C7FE" w14:textId="1000FD0E" w:rsidR="005E7417" w:rsidRDefault="005E7417">
        <w:pPr>
          <w:pStyle w:val="Cabealho"/>
        </w:pPr>
        <w:r>
          <w:rPr>
            <w:noProof/>
          </w:rPr>
          <mc:AlternateContent>
            <mc:Choice Requires="wps">
              <w:drawing>
                <wp:anchor distT="0" distB="0" distL="114300" distR="114300" simplePos="0" relativeHeight="251659264" behindDoc="0" locked="0" layoutInCell="0" allowOverlap="1" wp14:anchorId="5CD0448C" wp14:editId="12A787F9">
                  <wp:simplePos x="0" y="0"/>
                  <wp:positionH relativeFrom="rightMargin">
                    <wp:align>right</wp:align>
                  </wp:positionH>
                  <wp:positionV relativeFrom="margin">
                    <wp:align>center</wp:align>
                  </wp:positionV>
                  <wp:extent cx="727710" cy="329565"/>
                  <wp:effectExtent l="0" t="0" r="0" b="3810"/>
                  <wp:wrapNone/>
                  <wp:docPr id="1083535044"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E285DA" w14:textId="77777777" w:rsidR="005E7417" w:rsidRDefault="005E7417">
                              <w:pPr>
                                <w:pBdr>
                                  <w:bottom w:val="single" w:sz="4" w:space="1" w:color="auto"/>
                                </w:pBdr>
                              </w:pPr>
                              <w:r>
                                <w:fldChar w:fldCharType="begin"/>
                              </w:r>
                              <w:r>
                                <w:instrText>PAGE   \* MERGEFORMAT</w:instrText>
                              </w:r>
                              <w:r>
                                <w:fldChar w:fldCharType="separate"/>
                              </w:r>
                              <w: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5CD0448C" id="Retâ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3CE285DA" w14:textId="77777777" w:rsidR="005E7417" w:rsidRDefault="005E7417">
                        <w:pPr>
                          <w:pBdr>
                            <w:bottom w:val="single" w:sz="4" w:space="1" w:color="auto"/>
                          </w:pBdr>
                        </w:pPr>
                        <w:r>
                          <w:fldChar w:fldCharType="begin"/>
                        </w:r>
                        <w:r>
                          <w:instrText>PAGE   \* MERGEFORMAT</w:instrText>
                        </w:r>
                        <w:r>
                          <w:fldChar w:fldCharType="separate"/>
                        </w:r>
                        <w:r>
                          <w:t>2</w:t>
                        </w:r>
                        <w:r>
                          <w:fldChar w:fldCharType="end"/>
                        </w:r>
                      </w:p>
                    </w:txbxContent>
                  </v:textbox>
                  <w10:wrap anchorx="margin" anchory="margin"/>
                </v:rect>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17"/>
    <w:rsid w:val="005E74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A92EBF7"/>
  <w15:chartTrackingRefBased/>
  <w15:docId w15:val="{E39C434E-3C01-480F-99B0-1C20E6C1C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5E741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14:ligatures w14:val="none"/>
    </w:rPr>
  </w:style>
  <w:style w:type="paragraph" w:styleId="Ttulo2">
    <w:name w:val="heading 2"/>
    <w:basedOn w:val="Normal"/>
    <w:link w:val="Ttulo2Char"/>
    <w:uiPriority w:val="9"/>
    <w:qFormat/>
    <w:rsid w:val="005E7417"/>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E7417"/>
    <w:rPr>
      <w:rFonts w:ascii="Times New Roman" w:eastAsia="Times New Roman" w:hAnsi="Times New Roman" w:cs="Times New Roman"/>
      <w:b/>
      <w:bCs/>
      <w:kern w:val="36"/>
      <w:sz w:val="48"/>
      <w:szCs w:val="48"/>
      <w:lang w:eastAsia="pt-BR"/>
      <w14:ligatures w14:val="none"/>
    </w:rPr>
  </w:style>
  <w:style w:type="character" w:customStyle="1" w:styleId="Ttulo2Char">
    <w:name w:val="Título 2 Char"/>
    <w:basedOn w:val="Fontepargpadro"/>
    <w:link w:val="Ttulo2"/>
    <w:uiPriority w:val="9"/>
    <w:rsid w:val="005E7417"/>
    <w:rPr>
      <w:rFonts w:ascii="Times New Roman" w:eastAsia="Times New Roman" w:hAnsi="Times New Roman" w:cs="Times New Roman"/>
      <w:b/>
      <w:bCs/>
      <w:kern w:val="0"/>
      <w:sz w:val="36"/>
      <w:szCs w:val="36"/>
      <w:lang w:eastAsia="pt-BR"/>
      <w14:ligatures w14:val="none"/>
    </w:rPr>
  </w:style>
  <w:style w:type="paragraph" w:styleId="NormalWeb">
    <w:name w:val="Normal (Web)"/>
    <w:basedOn w:val="Normal"/>
    <w:uiPriority w:val="99"/>
    <w:semiHidden/>
    <w:unhideWhenUsed/>
    <w:rsid w:val="005E7417"/>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styleId="Cabealho">
    <w:name w:val="header"/>
    <w:basedOn w:val="Normal"/>
    <w:link w:val="CabealhoChar"/>
    <w:uiPriority w:val="99"/>
    <w:unhideWhenUsed/>
    <w:rsid w:val="005E74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7417"/>
  </w:style>
  <w:style w:type="paragraph" w:styleId="Rodap">
    <w:name w:val="footer"/>
    <w:basedOn w:val="Normal"/>
    <w:link w:val="RodapChar"/>
    <w:uiPriority w:val="99"/>
    <w:unhideWhenUsed/>
    <w:rsid w:val="005E7417"/>
    <w:pPr>
      <w:tabs>
        <w:tab w:val="center" w:pos="4252"/>
        <w:tab w:val="right" w:pos="8504"/>
      </w:tabs>
      <w:spacing w:after="0" w:line="240" w:lineRule="auto"/>
    </w:pPr>
  </w:style>
  <w:style w:type="character" w:customStyle="1" w:styleId="RodapChar">
    <w:name w:val="Rodapé Char"/>
    <w:basedOn w:val="Fontepargpadro"/>
    <w:link w:val="Rodap"/>
    <w:uiPriority w:val="99"/>
    <w:rsid w:val="005E7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6439681">
      <w:bodyDiv w:val="1"/>
      <w:marLeft w:val="0"/>
      <w:marRight w:val="0"/>
      <w:marTop w:val="0"/>
      <w:marBottom w:val="0"/>
      <w:divBdr>
        <w:top w:val="none" w:sz="0" w:space="0" w:color="auto"/>
        <w:left w:val="none" w:sz="0" w:space="0" w:color="auto"/>
        <w:bottom w:val="none" w:sz="0" w:space="0" w:color="auto"/>
        <w:right w:val="none" w:sz="0" w:space="0" w:color="auto"/>
      </w:divBdr>
      <w:divsChild>
        <w:div w:id="1193422119">
          <w:marLeft w:val="0"/>
          <w:marRight w:val="0"/>
          <w:marTop w:val="0"/>
          <w:marBottom w:val="0"/>
          <w:divBdr>
            <w:top w:val="none" w:sz="0" w:space="0" w:color="auto"/>
            <w:left w:val="none" w:sz="0" w:space="0" w:color="auto"/>
            <w:bottom w:val="none" w:sz="0" w:space="0" w:color="auto"/>
            <w:right w:val="none" w:sz="0" w:space="0" w:color="auto"/>
          </w:divBdr>
          <w:divsChild>
            <w:div w:id="457725483">
              <w:marLeft w:val="0"/>
              <w:marRight w:val="0"/>
              <w:marTop w:val="0"/>
              <w:marBottom w:val="0"/>
              <w:divBdr>
                <w:top w:val="none" w:sz="0" w:space="0" w:color="auto"/>
                <w:left w:val="none" w:sz="0" w:space="0" w:color="auto"/>
                <w:bottom w:val="none" w:sz="0" w:space="0" w:color="auto"/>
                <w:right w:val="none" w:sz="0" w:space="0" w:color="auto"/>
              </w:divBdr>
              <w:divsChild>
                <w:div w:id="1074282351">
                  <w:marLeft w:val="0"/>
                  <w:marRight w:val="0"/>
                  <w:marTop w:val="0"/>
                  <w:marBottom w:val="0"/>
                  <w:divBdr>
                    <w:top w:val="none" w:sz="0" w:space="0" w:color="auto"/>
                    <w:left w:val="none" w:sz="0" w:space="0" w:color="auto"/>
                    <w:bottom w:val="none" w:sz="0" w:space="0" w:color="auto"/>
                    <w:right w:val="none" w:sz="0" w:space="0" w:color="auto"/>
                  </w:divBdr>
                  <w:divsChild>
                    <w:div w:id="538781590">
                      <w:marLeft w:val="0"/>
                      <w:marRight w:val="0"/>
                      <w:marTop w:val="0"/>
                      <w:marBottom w:val="0"/>
                      <w:divBdr>
                        <w:top w:val="none" w:sz="0" w:space="0" w:color="auto"/>
                        <w:left w:val="none" w:sz="0" w:space="0" w:color="auto"/>
                        <w:bottom w:val="none" w:sz="0" w:space="0" w:color="auto"/>
                        <w:right w:val="none" w:sz="0" w:space="0" w:color="auto"/>
                      </w:divBdr>
                      <w:divsChild>
                        <w:div w:id="1274902757">
                          <w:marLeft w:val="0"/>
                          <w:marRight w:val="0"/>
                          <w:marTop w:val="0"/>
                          <w:marBottom w:val="0"/>
                          <w:divBdr>
                            <w:top w:val="none" w:sz="0" w:space="0" w:color="auto"/>
                            <w:left w:val="none" w:sz="0" w:space="0" w:color="auto"/>
                            <w:bottom w:val="none" w:sz="0" w:space="0" w:color="auto"/>
                            <w:right w:val="none" w:sz="0" w:space="0" w:color="auto"/>
                          </w:divBdr>
                          <w:divsChild>
                            <w:div w:id="90781502">
                              <w:marLeft w:val="0"/>
                              <w:marRight w:val="0"/>
                              <w:marTop w:val="0"/>
                              <w:marBottom w:val="0"/>
                              <w:divBdr>
                                <w:top w:val="none" w:sz="0" w:space="0" w:color="auto"/>
                                <w:left w:val="none" w:sz="0" w:space="0" w:color="auto"/>
                                <w:bottom w:val="none" w:sz="0" w:space="0" w:color="auto"/>
                                <w:right w:val="none" w:sz="0" w:space="0" w:color="auto"/>
                              </w:divBdr>
                              <w:divsChild>
                                <w:div w:id="101924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3777</Words>
  <Characters>20396</Characters>
  <Application>Microsoft Office Word</Application>
  <DocSecurity>0</DocSecurity>
  <Lines>169</Lines>
  <Paragraphs>48</Paragraphs>
  <ScaleCrop>false</ScaleCrop>
  <Company/>
  <LinksUpToDate>false</LinksUpToDate>
  <CharactersWithSpaces>24125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Marcos Pedlowski</dc:creator>
  <cp:keywords/>
  <dc:description/>
  <cp:lastModifiedBy>Marcos Pedlowski</cp:lastModifiedBy>
  <cp:revision>1</cp:revision>
  <dcterms:created xsi:type="dcterms:W3CDTF">2026-07-14T20:24:00Z</dcterms:created>
  <dcterms:modified xsi:type="dcterms:W3CDTF">2026-07-14T20:33:00Z</dcterms:modified>
</cp:coreProperties>
</file>